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CED61" w14:textId="5C3A4D89" w:rsidR="00B85180" w:rsidRPr="00EA0334" w:rsidRDefault="00421718" w:rsidP="00B85180">
      <w:pPr>
        <w:rPr>
          <w:rFonts w:ascii="Arial" w:hAnsi="Arial" w:cs="Arial"/>
          <w:b/>
          <w:bCs/>
          <w:sz w:val="20"/>
          <w:szCs w:val="20"/>
        </w:rPr>
      </w:pPr>
      <w:r w:rsidRPr="00EA0334">
        <w:rPr>
          <w:rFonts w:ascii="Arial" w:hAnsi="Arial" w:cs="Arial"/>
          <w:b/>
          <w:bCs/>
          <w:sz w:val="20"/>
          <w:szCs w:val="20"/>
        </w:rPr>
        <w:t xml:space="preserve">Title: </w:t>
      </w:r>
      <w:r w:rsidR="00BD7386" w:rsidRPr="00EA0334">
        <w:rPr>
          <w:rFonts w:ascii="Arial" w:hAnsi="Arial" w:cs="Arial"/>
          <w:b/>
          <w:bCs/>
          <w:sz w:val="20"/>
          <w:szCs w:val="20"/>
        </w:rPr>
        <w:t xml:space="preserve">2D </w:t>
      </w:r>
      <w:r w:rsidR="0059191D" w:rsidRPr="00EA0334">
        <w:rPr>
          <w:rFonts w:ascii="Arial" w:hAnsi="Arial" w:cs="Arial"/>
          <w:b/>
          <w:bCs/>
          <w:sz w:val="20"/>
          <w:szCs w:val="20"/>
        </w:rPr>
        <w:t xml:space="preserve">Reticular </w:t>
      </w:r>
      <w:r w:rsidR="00BD7386" w:rsidRPr="00EA0334">
        <w:rPr>
          <w:rFonts w:ascii="Arial" w:hAnsi="Arial" w:cs="Arial"/>
          <w:b/>
          <w:bCs/>
          <w:sz w:val="20"/>
          <w:szCs w:val="20"/>
        </w:rPr>
        <w:t xml:space="preserve">Organic Frameworks </w:t>
      </w:r>
      <w:r w:rsidR="00B85180" w:rsidRPr="00EA0334">
        <w:rPr>
          <w:rFonts w:ascii="Arial" w:hAnsi="Arial" w:cs="Arial"/>
          <w:b/>
          <w:bCs/>
          <w:sz w:val="20"/>
          <w:szCs w:val="20"/>
        </w:rPr>
        <w:t>to</w:t>
      </w:r>
      <w:r w:rsidR="00BD7386" w:rsidRPr="00EA0334">
        <w:rPr>
          <w:rFonts w:ascii="Arial" w:hAnsi="Arial" w:cs="Arial"/>
          <w:b/>
          <w:bCs/>
          <w:sz w:val="20"/>
          <w:szCs w:val="20"/>
        </w:rPr>
        <w:t xml:space="preserve"> Precisely Functionalize</w:t>
      </w:r>
      <w:r w:rsidR="00B85180" w:rsidRPr="00EA0334">
        <w:rPr>
          <w:rFonts w:ascii="Arial" w:hAnsi="Arial" w:cs="Arial"/>
          <w:b/>
          <w:bCs/>
          <w:sz w:val="20"/>
          <w:szCs w:val="20"/>
        </w:rPr>
        <w:t xml:space="preserve"> </w:t>
      </w:r>
      <w:r w:rsidR="00BD7386" w:rsidRPr="00EA0334">
        <w:rPr>
          <w:rFonts w:ascii="Arial" w:hAnsi="Arial" w:cs="Arial"/>
          <w:b/>
          <w:bCs/>
          <w:sz w:val="20"/>
          <w:szCs w:val="20"/>
        </w:rPr>
        <w:t>Electrodes for Sustainable Energy Storage</w:t>
      </w:r>
    </w:p>
    <w:p w14:paraId="4DC6EF92" w14:textId="30FCECF6" w:rsidR="00831FA0" w:rsidRDefault="00B85180" w:rsidP="00831FA0">
      <w:pPr>
        <w:jc w:val="both"/>
        <w:rPr>
          <w:rFonts w:ascii="Arial" w:hAnsi="Arial" w:cs="Arial"/>
          <w:sz w:val="20"/>
          <w:szCs w:val="20"/>
          <w:lang w:val="en-GB"/>
        </w:rPr>
      </w:pPr>
      <w:r w:rsidRPr="00EA0334">
        <w:rPr>
          <w:rFonts w:ascii="Arial" w:hAnsi="Arial" w:cs="Arial"/>
          <w:b/>
          <w:bCs/>
          <w:sz w:val="20"/>
          <w:szCs w:val="20"/>
          <w:lang w:val="en-GB"/>
        </w:rPr>
        <w:t>Abstract:</w:t>
      </w:r>
      <w:r w:rsidRPr="00EA0334">
        <w:rPr>
          <w:rFonts w:ascii="Arial" w:hAnsi="Arial" w:cs="Arial"/>
          <w:sz w:val="20"/>
          <w:szCs w:val="20"/>
          <w:lang w:val="en-GB"/>
        </w:rPr>
        <w:t xml:space="preserve"> </w:t>
      </w:r>
      <w:r w:rsidR="00C274A0" w:rsidRPr="00EA0334">
        <w:rPr>
          <w:rFonts w:ascii="Arial" w:hAnsi="Arial" w:cs="Arial"/>
          <w:sz w:val="20"/>
          <w:szCs w:val="20"/>
          <w:lang w:val="en-GB"/>
        </w:rPr>
        <w:t xml:space="preserve">2D organic frameworks (COFs, COPs, CTFs, </w:t>
      </w:r>
      <w:proofErr w:type="spellStart"/>
      <w:r w:rsidR="00C274A0" w:rsidRPr="00EA0334">
        <w:rPr>
          <w:rFonts w:ascii="Arial" w:hAnsi="Arial" w:cs="Arial"/>
          <w:sz w:val="20"/>
          <w:szCs w:val="20"/>
          <w:lang w:val="en-GB"/>
        </w:rPr>
        <w:t>Graphyne</w:t>
      </w:r>
      <w:proofErr w:type="spellEnd"/>
      <w:r w:rsidR="00C274A0" w:rsidRPr="00EA0334">
        <w:rPr>
          <w:rFonts w:ascii="Arial" w:hAnsi="Arial" w:cs="Arial"/>
          <w:sz w:val="20"/>
          <w:szCs w:val="20"/>
          <w:lang w:val="en-GB"/>
        </w:rPr>
        <w:t>-n=1,</w:t>
      </w:r>
      <w:proofErr w:type="gramStart"/>
      <w:r w:rsidR="00C274A0" w:rsidRPr="00EA0334">
        <w:rPr>
          <w:rFonts w:ascii="Arial" w:hAnsi="Arial" w:cs="Arial"/>
          <w:sz w:val="20"/>
          <w:szCs w:val="20"/>
          <w:lang w:val="en-GB"/>
        </w:rPr>
        <w:t>2,3..</w:t>
      </w:r>
      <w:proofErr w:type="gramEnd"/>
      <w:r w:rsidR="00C274A0" w:rsidRPr="00EA0334">
        <w:rPr>
          <w:rFonts w:ascii="Arial" w:hAnsi="Arial" w:cs="Arial"/>
          <w:sz w:val="20"/>
          <w:szCs w:val="20"/>
          <w:lang w:val="en-GB"/>
        </w:rPr>
        <w:t xml:space="preserve">) are a special class of organo-polymers featuring interconnected organic π-stacking monomers, resulting in well-defined periodic and porous architectures. Our designed strategy incorporates multiple redox-active functionalities into their structures starting from the building blocks or through post-functionalization, expanding the scope of pore-surface engineering, and exhibiting </w:t>
      </w:r>
      <w:proofErr w:type="spellStart"/>
      <w:r w:rsidR="00C274A0" w:rsidRPr="00EA0334">
        <w:rPr>
          <w:rFonts w:ascii="Arial" w:hAnsi="Arial" w:cs="Arial"/>
          <w:sz w:val="20"/>
          <w:szCs w:val="20"/>
          <w:lang w:val="en-GB"/>
        </w:rPr>
        <w:t>tunable</w:t>
      </w:r>
      <w:proofErr w:type="spellEnd"/>
      <w:r w:rsidR="00C274A0" w:rsidRPr="00EA0334">
        <w:rPr>
          <w:rFonts w:ascii="Arial" w:hAnsi="Arial" w:cs="Arial"/>
          <w:sz w:val="20"/>
          <w:szCs w:val="20"/>
          <w:lang w:val="en-GB"/>
        </w:rPr>
        <w:t xml:space="preserve"> electronic properties. This approach enables us to fabricate excellent surface-functionalized electrodes for electrochemical energy storage, resembling heteroatom-doped graphitic materials but with additional control over precise structural properties. Undoubtedly, reticular organic chemistry empowers the creation of these materials, enhancing charge storage and ion diffusion through their well-organized porous structure. Molecular-level tuning of energy levels and consequently band structure determines the charge storage within specific potential windows and facilitates charge transfer. Taking advantage of the structure-property control of such materials in designing electrodes, we recently constructed some innovative energy storage systems, such as economical, sustainable, and fast-charging </w:t>
      </w:r>
      <w:proofErr w:type="spellStart"/>
      <w:r w:rsidR="00C274A0" w:rsidRPr="00EA0334">
        <w:rPr>
          <w:rFonts w:ascii="Arial" w:hAnsi="Arial" w:cs="Arial"/>
          <w:sz w:val="20"/>
          <w:szCs w:val="20"/>
          <w:lang w:val="en-GB"/>
        </w:rPr>
        <w:t>Supercapattery</w:t>
      </w:r>
      <w:proofErr w:type="spellEnd"/>
      <w:r w:rsidR="00C274A0" w:rsidRPr="00EA0334">
        <w:rPr>
          <w:rFonts w:ascii="Arial" w:hAnsi="Arial" w:cs="Arial"/>
          <w:sz w:val="20"/>
          <w:szCs w:val="20"/>
          <w:lang w:val="en-GB"/>
        </w:rPr>
        <w:t xml:space="preserve"> (supercapacitor + battery) and novel Metal-</w:t>
      </w:r>
      <w:proofErr w:type="spellStart"/>
      <w:r w:rsidR="00C274A0" w:rsidRPr="00EA0334">
        <w:rPr>
          <w:rFonts w:ascii="Arial" w:hAnsi="Arial" w:cs="Arial"/>
          <w:sz w:val="20"/>
          <w:szCs w:val="20"/>
          <w:lang w:val="en-GB"/>
        </w:rPr>
        <w:t>Organochalcogenide</w:t>
      </w:r>
      <w:proofErr w:type="spellEnd"/>
      <w:r w:rsidR="00C274A0" w:rsidRPr="00EA0334">
        <w:rPr>
          <w:rFonts w:ascii="Arial" w:hAnsi="Arial" w:cs="Arial"/>
          <w:sz w:val="20"/>
          <w:szCs w:val="20"/>
          <w:lang w:val="en-GB"/>
        </w:rPr>
        <w:t xml:space="preserve"> batteries (M-</w:t>
      </w:r>
      <w:proofErr w:type="spellStart"/>
      <w:r w:rsidR="00C274A0" w:rsidRPr="00EA0334">
        <w:rPr>
          <w:rFonts w:ascii="Arial" w:hAnsi="Arial" w:cs="Arial"/>
          <w:sz w:val="20"/>
          <w:szCs w:val="20"/>
          <w:lang w:val="en-GB"/>
        </w:rPr>
        <w:t>OrX</w:t>
      </w:r>
      <w:proofErr w:type="spellEnd"/>
      <w:r w:rsidR="00C274A0" w:rsidRPr="00EA0334">
        <w:rPr>
          <w:rFonts w:ascii="Arial" w:hAnsi="Arial" w:cs="Arial"/>
          <w:sz w:val="20"/>
          <w:szCs w:val="20"/>
          <w:lang w:val="en-GB"/>
        </w:rPr>
        <w:t xml:space="preserve">: M= Li, Al, and X= S, Se). The </w:t>
      </w:r>
      <w:proofErr w:type="spellStart"/>
      <w:r w:rsidR="00C274A0" w:rsidRPr="00EA0334">
        <w:rPr>
          <w:rFonts w:ascii="Arial" w:hAnsi="Arial" w:cs="Arial"/>
          <w:sz w:val="20"/>
          <w:szCs w:val="20"/>
          <w:lang w:val="en-GB"/>
        </w:rPr>
        <w:t>tunable</w:t>
      </w:r>
      <w:proofErr w:type="spellEnd"/>
      <w:r w:rsidR="00C274A0" w:rsidRPr="00EA0334">
        <w:rPr>
          <w:rFonts w:ascii="Arial" w:hAnsi="Arial" w:cs="Arial"/>
          <w:sz w:val="20"/>
          <w:szCs w:val="20"/>
          <w:lang w:val="en-GB"/>
        </w:rPr>
        <w:t xml:space="preserve"> band structure, band gap engineering, and excellent hole and electron mobility within structural units might also create a platform to construct a photocathode for a photo-rechargeable battery that does not require charging via plug-in electricity. </w:t>
      </w:r>
      <w:r w:rsidR="00C274A0" w:rsidRPr="00EA0334">
        <w:rPr>
          <w:rFonts w:ascii="Arial" w:hAnsi="Arial" w:cs="Arial"/>
          <w:sz w:val="20"/>
          <w:szCs w:val="20"/>
          <w:lang w:val="en-GB"/>
        </w:rPr>
        <w:t>W</w:t>
      </w:r>
      <w:r w:rsidR="00C274A0" w:rsidRPr="00EA0334">
        <w:rPr>
          <w:rFonts w:ascii="Arial" w:hAnsi="Arial" w:cs="Arial"/>
          <w:sz w:val="20"/>
          <w:szCs w:val="20"/>
          <w:lang w:val="en-GB"/>
        </w:rPr>
        <w:t xml:space="preserve">e also aim to explore the fascinating world of ultrafast quantum ion-computing systems by precisely utilizing well-defined pore sizes of such frameworks-electrodes to construct capacitive intronic and </w:t>
      </w:r>
      <w:proofErr w:type="spellStart"/>
      <w:r w:rsidR="00C274A0" w:rsidRPr="00EA0334">
        <w:rPr>
          <w:rFonts w:ascii="Arial" w:hAnsi="Arial" w:cs="Arial"/>
          <w:sz w:val="20"/>
          <w:szCs w:val="20"/>
          <w:lang w:val="en-GB"/>
        </w:rPr>
        <w:t>ionologic</w:t>
      </w:r>
      <w:proofErr w:type="spellEnd"/>
      <w:r w:rsidR="00C274A0" w:rsidRPr="00EA0334">
        <w:rPr>
          <w:rFonts w:ascii="Arial" w:hAnsi="Arial" w:cs="Arial"/>
          <w:sz w:val="20"/>
          <w:szCs w:val="20"/>
          <w:lang w:val="en-GB"/>
        </w:rPr>
        <w:t xml:space="preserve"> gates. Despite promising features, a gap remains between theoretical </w:t>
      </w:r>
      <w:r w:rsidR="00EA0334">
        <w:rPr>
          <w:rFonts w:ascii="Arial" w:hAnsi="Arial" w:cs="Arial"/>
          <w:sz w:val="20"/>
          <w:szCs w:val="20"/>
          <w:lang w:val="en-GB"/>
        </w:rPr>
        <w:t>prediction</w:t>
      </w:r>
      <w:r w:rsidR="00C274A0" w:rsidRPr="00EA0334">
        <w:rPr>
          <w:rFonts w:ascii="Arial" w:hAnsi="Arial" w:cs="Arial"/>
          <w:sz w:val="20"/>
          <w:szCs w:val="20"/>
          <w:lang w:val="en-GB"/>
        </w:rPr>
        <w:t xml:space="preserve"> and practical implementation, crucial for scalable, dependable sustainable </w:t>
      </w:r>
      <w:r w:rsidR="00C274A0" w:rsidRPr="00EA0334">
        <w:rPr>
          <w:rFonts w:ascii="Arial" w:hAnsi="Arial" w:cs="Arial"/>
          <w:sz w:val="20"/>
          <w:szCs w:val="20"/>
          <w:lang w:val="en-GB"/>
        </w:rPr>
        <w:t>electrode developments</w:t>
      </w:r>
      <w:r w:rsidR="00C274A0" w:rsidRPr="00EA0334">
        <w:rPr>
          <w:rFonts w:ascii="Arial" w:hAnsi="Arial" w:cs="Arial"/>
          <w:sz w:val="20"/>
          <w:szCs w:val="20"/>
          <w:lang w:val="en-GB"/>
        </w:rPr>
        <w:t>. Bridging this disparity involves refining on-surface growth of 2D films</w:t>
      </w:r>
      <w:r w:rsidR="00C274A0" w:rsidRPr="00EA0334">
        <w:rPr>
          <w:rFonts w:ascii="Arial" w:hAnsi="Arial" w:cs="Arial"/>
          <w:sz w:val="20"/>
          <w:szCs w:val="20"/>
          <w:lang w:val="en-GB"/>
        </w:rPr>
        <w:t xml:space="preserve"> of organic framework</w:t>
      </w:r>
      <w:r w:rsidR="00C274A0" w:rsidRPr="00EA0334">
        <w:rPr>
          <w:rFonts w:ascii="Arial" w:hAnsi="Arial" w:cs="Arial"/>
          <w:sz w:val="20"/>
          <w:szCs w:val="20"/>
          <w:lang w:val="en-GB"/>
        </w:rPr>
        <w:t xml:space="preserve"> with precise ordering for electronic conduction and charge transfer, and meticulous processing for device implementation. A</w:t>
      </w:r>
      <w:r w:rsidR="00A11202">
        <w:rPr>
          <w:rFonts w:ascii="Arial" w:hAnsi="Arial" w:cs="Arial"/>
          <w:sz w:val="20"/>
          <w:szCs w:val="20"/>
          <w:lang w:val="en-GB"/>
        </w:rPr>
        <w:t xml:space="preserve"> </w:t>
      </w:r>
      <w:r w:rsidR="00C274A0" w:rsidRPr="00EA0334">
        <w:rPr>
          <w:rFonts w:ascii="Arial" w:hAnsi="Arial" w:cs="Arial"/>
          <w:sz w:val="20"/>
          <w:szCs w:val="20"/>
          <w:lang w:val="en-GB"/>
        </w:rPr>
        <w:t xml:space="preserve">comprehensive understanding of fundamental mechanisms is essential for future customized design of such </w:t>
      </w:r>
      <w:r w:rsidR="00C274A0" w:rsidRPr="00EA0334">
        <w:rPr>
          <w:rFonts w:ascii="Arial" w:hAnsi="Arial" w:cs="Arial"/>
          <w:sz w:val="20"/>
          <w:szCs w:val="20"/>
          <w:lang w:val="en-GB"/>
        </w:rPr>
        <w:t>o</w:t>
      </w:r>
      <w:r w:rsidR="00C274A0" w:rsidRPr="00EA0334">
        <w:rPr>
          <w:rFonts w:ascii="Arial" w:hAnsi="Arial" w:cs="Arial"/>
          <w:sz w:val="20"/>
          <w:szCs w:val="20"/>
          <w:lang w:val="en-GB"/>
        </w:rPr>
        <w:t>rgano-polymer-based energy storage. The success of this new research dimension pivots on inspiring and motivating young scientific minds toward organic green energy storage</w:t>
      </w:r>
      <w:r w:rsidR="00C274A0" w:rsidRPr="00EA0334">
        <w:rPr>
          <w:rFonts w:ascii="Arial" w:hAnsi="Arial" w:cs="Arial"/>
          <w:sz w:val="20"/>
          <w:szCs w:val="20"/>
          <w:lang w:val="en-GB"/>
        </w:rPr>
        <w:t xml:space="preserve"> for creating</w:t>
      </w:r>
      <w:r w:rsidR="00C274A0" w:rsidRPr="00EA0334">
        <w:rPr>
          <w:rFonts w:ascii="Arial" w:hAnsi="Arial" w:cs="Arial"/>
          <w:sz w:val="20"/>
          <w:szCs w:val="20"/>
          <w:lang w:val="en-GB"/>
        </w:rPr>
        <w:t xml:space="preserve"> </w:t>
      </w:r>
      <w:r w:rsidR="00C274A0" w:rsidRPr="00EA0334">
        <w:rPr>
          <w:rFonts w:ascii="Arial" w:hAnsi="Arial" w:cs="Arial"/>
          <w:sz w:val="20"/>
          <w:szCs w:val="20"/>
          <w:lang w:val="en-GB"/>
        </w:rPr>
        <w:t xml:space="preserve">a </w:t>
      </w:r>
      <w:r w:rsidR="00C274A0" w:rsidRPr="00EA0334">
        <w:rPr>
          <w:rFonts w:ascii="Arial" w:hAnsi="Arial" w:cs="Arial"/>
          <w:sz w:val="20"/>
          <w:szCs w:val="20"/>
          <w:lang w:val="en-GB"/>
        </w:rPr>
        <w:t xml:space="preserve">sustainable world. Cultivation of young talent through hands-on laboratory work and classroom teaching, focused on generating innovative ideas, will </w:t>
      </w:r>
      <w:r w:rsidR="00C274A0" w:rsidRPr="00EA0334">
        <w:rPr>
          <w:rFonts w:ascii="Arial" w:hAnsi="Arial" w:cs="Arial"/>
          <w:sz w:val="20"/>
          <w:szCs w:val="20"/>
          <w:lang w:val="en-GB"/>
        </w:rPr>
        <w:t>aid</w:t>
      </w:r>
      <w:r w:rsidR="00C274A0" w:rsidRPr="00EA0334">
        <w:rPr>
          <w:rFonts w:ascii="Arial" w:hAnsi="Arial" w:cs="Arial"/>
          <w:sz w:val="20"/>
          <w:szCs w:val="20"/>
          <w:lang w:val="en-GB"/>
        </w:rPr>
        <w:t xml:space="preserve"> practical implementation. To facilitate this, two new courses could be proposed: A) Chemical Innovations for Renewable Energy Solutions (Undergraduate) and B) Functional Organic Materials for Sustainable Energy Storage (Postgraduate) in addition to the existing curriculum aims to shape and empower the next generation of scientists for the future broadening of this new research field.</w:t>
      </w:r>
    </w:p>
    <w:p w14:paraId="5049CE67" w14:textId="77777777" w:rsidR="00831FA0" w:rsidRPr="00831FA0" w:rsidRDefault="00831FA0" w:rsidP="00831FA0">
      <w:pPr>
        <w:rPr>
          <w:rFonts w:ascii="Arial" w:hAnsi="Arial" w:cs="Arial"/>
          <w:b/>
          <w:bCs/>
          <w:sz w:val="20"/>
          <w:szCs w:val="20"/>
        </w:rPr>
      </w:pPr>
      <w:r w:rsidRPr="00831FA0">
        <w:rPr>
          <w:rFonts w:ascii="Arial" w:hAnsi="Arial" w:cs="Arial"/>
          <w:b/>
          <w:bCs/>
          <w:sz w:val="20"/>
          <w:szCs w:val="20"/>
        </w:rPr>
        <w:t>Some References:</w:t>
      </w:r>
    </w:p>
    <w:p w14:paraId="3A802254" w14:textId="77777777" w:rsidR="00831FA0" w:rsidRPr="00831FA0" w:rsidRDefault="00831FA0" w:rsidP="00831FA0">
      <w:pPr>
        <w:spacing w:after="60"/>
        <w:jc w:val="both"/>
        <w:rPr>
          <w:rFonts w:ascii="Arial" w:hAnsi="Arial" w:cs="Arial"/>
          <w:bCs/>
          <w:color w:val="0070C0"/>
          <w:sz w:val="20"/>
          <w:szCs w:val="20"/>
          <w:u w:val="single"/>
        </w:rPr>
      </w:pPr>
      <w:r w:rsidRPr="00831FA0">
        <w:rPr>
          <w:rFonts w:ascii="Arial" w:hAnsi="Arial" w:cs="Arial"/>
          <w:bCs/>
          <w:color w:val="0D0D0D" w:themeColor="text1" w:themeTint="F2"/>
          <w:sz w:val="20"/>
          <w:szCs w:val="20"/>
        </w:rPr>
        <w:t xml:space="preserve">1. </w:t>
      </w:r>
      <w:r w:rsidRPr="00831FA0">
        <w:rPr>
          <w:rFonts w:ascii="Arial" w:hAnsi="Arial" w:cs="Arial"/>
          <w:b/>
          <w:bCs/>
          <w:color w:val="0D0D0D" w:themeColor="text1" w:themeTint="F2"/>
          <w:sz w:val="20"/>
          <w:szCs w:val="20"/>
        </w:rPr>
        <w:t>Haldar, S.*</w:t>
      </w:r>
      <w:r w:rsidRPr="00831FA0">
        <w:rPr>
          <w:rFonts w:ascii="Arial" w:hAnsi="Arial" w:cs="Arial"/>
          <w:bCs/>
          <w:color w:val="0D0D0D" w:themeColor="text1" w:themeTint="F2"/>
          <w:sz w:val="20"/>
          <w:szCs w:val="20"/>
        </w:rPr>
        <w:t xml:space="preserve">; Bhauriyal, P; Ramuglia, A. R.; Khan, A. H.; Kock, S. D.; Hazra, A.; Bon, V.; </w:t>
      </w:r>
      <w:proofErr w:type="spellStart"/>
      <w:r w:rsidRPr="00831FA0">
        <w:rPr>
          <w:rFonts w:ascii="Arial" w:hAnsi="Arial" w:cs="Arial"/>
          <w:bCs/>
          <w:color w:val="0D0D0D" w:themeColor="text1" w:themeTint="F2"/>
          <w:sz w:val="20"/>
          <w:szCs w:val="20"/>
        </w:rPr>
        <w:t>Pastoetter</w:t>
      </w:r>
      <w:proofErr w:type="spellEnd"/>
      <w:r w:rsidRPr="00831FA0">
        <w:rPr>
          <w:rFonts w:ascii="Arial" w:hAnsi="Arial" w:cs="Arial"/>
          <w:bCs/>
          <w:color w:val="0D0D0D" w:themeColor="text1" w:themeTint="F2"/>
          <w:sz w:val="20"/>
          <w:szCs w:val="20"/>
        </w:rPr>
        <w:t xml:space="preserve">, D. L.; Kirchhoff, S.; Shupletsov, L.; De, A.; Isaacs, M. A.; Feng, X.; Walter, M.; Brunner, E., Weidinger, I. M.; Heine, T.; Schneemann, A.; </w:t>
      </w:r>
      <w:r w:rsidRPr="00831FA0">
        <w:rPr>
          <w:rFonts w:ascii="Arial" w:hAnsi="Arial" w:cs="Arial"/>
          <w:b/>
          <w:color w:val="0D0D0D" w:themeColor="text1" w:themeTint="F2"/>
          <w:sz w:val="20"/>
          <w:szCs w:val="20"/>
        </w:rPr>
        <w:t>Kaskel, S.*</w:t>
      </w:r>
      <w:r w:rsidRPr="00831FA0">
        <w:rPr>
          <w:rFonts w:ascii="Arial" w:hAnsi="Arial" w:cs="Arial"/>
          <w:bCs/>
          <w:color w:val="0D0D0D" w:themeColor="text1" w:themeTint="F2"/>
          <w:sz w:val="20"/>
          <w:szCs w:val="20"/>
        </w:rPr>
        <w:t xml:space="preserve"> </w:t>
      </w:r>
      <w:r w:rsidRPr="00831FA0">
        <w:rPr>
          <w:rFonts w:ascii="Arial" w:hAnsi="Arial" w:cs="Arial"/>
          <w:b/>
          <w:bCs/>
          <w:color w:val="0D0D0D" w:themeColor="text1" w:themeTint="F2"/>
          <w:sz w:val="20"/>
          <w:szCs w:val="20"/>
        </w:rPr>
        <w:t xml:space="preserve">(2023): </w:t>
      </w:r>
      <w:r w:rsidRPr="00831FA0">
        <w:rPr>
          <w:rFonts w:ascii="Arial" w:hAnsi="Arial" w:cs="Arial"/>
          <w:bCs/>
          <w:color w:val="0D0D0D" w:themeColor="text1" w:themeTint="F2"/>
          <w:sz w:val="20"/>
          <w:szCs w:val="20"/>
        </w:rPr>
        <w:t xml:space="preserve">Sulfide Bridged Covalent Quinoxaline Frameworks for Lithium-Organo-Sulfide Battery. </w:t>
      </w:r>
      <w:r w:rsidRPr="00831FA0">
        <w:rPr>
          <w:rFonts w:ascii="Arial" w:hAnsi="Arial" w:cs="Arial"/>
          <w:b/>
          <w:bCs/>
          <w:i/>
          <w:iCs/>
          <w:color w:val="0D0D0D" w:themeColor="text1" w:themeTint="F2"/>
          <w:sz w:val="20"/>
          <w:szCs w:val="20"/>
        </w:rPr>
        <w:t xml:space="preserve">Advanced Materials </w:t>
      </w:r>
      <w:r w:rsidRPr="00831FA0">
        <w:rPr>
          <w:rFonts w:ascii="Arial" w:hAnsi="Arial" w:cs="Arial"/>
          <w:b/>
          <w:bCs/>
          <w:i/>
          <w:iCs/>
          <w:color w:val="0070C0"/>
          <w:sz w:val="20"/>
          <w:szCs w:val="20"/>
        </w:rPr>
        <w:t>(editor’s choice)</w:t>
      </w:r>
      <w:r w:rsidRPr="00831FA0">
        <w:rPr>
          <w:rFonts w:ascii="Arial" w:hAnsi="Arial" w:cs="Arial"/>
          <w:bCs/>
          <w:color w:val="0D0D0D" w:themeColor="text1" w:themeTint="F2"/>
          <w:sz w:val="20"/>
          <w:szCs w:val="20"/>
        </w:rPr>
        <w:t>,</w:t>
      </w:r>
      <w:r w:rsidRPr="00831FA0">
        <w:rPr>
          <w:rFonts w:ascii="Arial" w:hAnsi="Arial" w:cs="Arial"/>
          <w:sz w:val="20"/>
          <w:szCs w:val="20"/>
        </w:rPr>
        <w:t xml:space="preserve"> </w:t>
      </w:r>
      <w:r w:rsidRPr="00831FA0">
        <w:rPr>
          <w:rFonts w:ascii="Arial" w:hAnsi="Arial" w:cs="Arial"/>
          <w:bCs/>
          <w:i/>
          <w:color w:val="0D0D0D" w:themeColor="text1" w:themeTint="F2"/>
          <w:sz w:val="20"/>
          <w:szCs w:val="20"/>
        </w:rPr>
        <w:t>35</w:t>
      </w:r>
      <w:r w:rsidRPr="00831FA0">
        <w:rPr>
          <w:rFonts w:ascii="Arial" w:hAnsi="Arial" w:cs="Arial"/>
          <w:bCs/>
          <w:color w:val="0D0D0D" w:themeColor="text1" w:themeTint="F2"/>
          <w:sz w:val="20"/>
          <w:szCs w:val="20"/>
        </w:rPr>
        <w:t xml:space="preserve">, 2210151. </w:t>
      </w:r>
      <w:r w:rsidRPr="00831FA0">
        <w:rPr>
          <w:rFonts w:ascii="Arial" w:hAnsi="Arial" w:cs="Arial"/>
          <w:bCs/>
          <w:color w:val="0070C0"/>
          <w:sz w:val="20"/>
          <w:szCs w:val="20"/>
          <w:u w:val="single"/>
        </w:rPr>
        <w:t>https://doi.org/10.1002/adma.202210151</w:t>
      </w:r>
    </w:p>
    <w:p w14:paraId="60B1D358" w14:textId="77777777" w:rsidR="00831FA0" w:rsidRPr="00831FA0" w:rsidRDefault="00831FA0" w:rsidP="00831FA0">
      <w:pPr>
        <w:spacing w:after="60"/>
        <w:jc w:val="both"/>
        <w:rPr>
          <w:rFonts w:ascii="Arial" w:hAnsi="Arial" w:cs="Arial"/>
          <w:bCs/>
          <w:color w:val="0D0D0D" w:themeColor="text1" w:themeTint="F2"/>
          <w:sz w:val="20"/>
          <w:szCs w:val="20"/>
        </w:rPr>
      </w:pPr>
      <w:r w:rsidRPr="00831FA0">
        <w:rPr>
          <w:rFonts w:ascii="Arial" w:hAnsi="Arial" w:cs="Arial"/>
          <w:bCs/>
          <w:color w:val="0D0D0D" w:themeColor="text1" w:themeTint="F2"/>
          <w:sz w:val="20"/>
          <w:szCs w:val="20"/>
        </w:rPr>
        <w:t xml:space="preserve">2. </w:t>
      </w:r>
      <w:r w:rsidRPr="00831FA0">
        <w:rPr>
          <w:rFonts w:ascii="Arial" w:hAnsi="Arial" w:cs="Arial"/>
          <w:b/>
          <w:bCs/>
          <w:color w:val="0D0D0D" w:themeColor="text1" w:themeTint="F2"/>
          <w:sz w:val="20"/>
          <w:szCs w:val="20"/>
        </w:rPr>
        <w:t>Haldar, S.*</w:t>
      </w:r>
      <w:r w:rsidRPr="00831FA0">
        <w:rPr>
          <w:rFonts w:ascii="Arial" w:hAnsi="Arial" w:cs="Arial"/>
          <w:bCs/>
          <w:color w:val="0D0D0D" w:themeColor="text1" w:themeTint="F2"/>
          <w:sz w:val="20"/>
          <w:szCs w:val="20"/>
        </w:rPr>
        <w:t xml:space="preserve">; Schneemann, A.; </w:t>
      </w:r>
      <w:r w:rsidRPr="00831FA0">
        <w:rPr>
          <w:rFonts w:ascii="Arial" w:hAnsi="Arial" w:cs="Arial"/>
          <w:b/>
          <w:color w:val="0D0D0D" w:themeColor="text1" w:themeTint="F2"/>
          <w:sz w:val="20"/>
          <w:szCs w:val="20"/>
        </w:rPr>
        <w:t>Kaskel, S.*</w:t>
      </w:r>
      <w:r w:rsidRPr="00831FA0">
        <w:rPr>
          <w:rFonts w:ascii="Arial" w:hAnsi="Arial" w:cs="Arial"/>
          <w:bCs/>
          <w:color w:val="0D0D0D" w:themeColor="text1" w:themeTint="F2"/>
          <w:sz w:val="20"/>
          <w:szCs w:val="20"/>
        </w:rPr>
        <w:t xml:space="preserve"> </w:t>
      </w:r>
      <w:r w:rsidRPr="00831FA0">
        <w:rPr>
          <w:rFonts w:ascii="Arial" w:hAnsi="Arial" w:cs="Arial"/>
          <w:b/>
          <w:bCs/>
          <w:color w:val="0D0D0D" w:themeColor="text1" w:themeTint="F2"/>
          <w:sz w:val="20"/>
          <w:szCs w:val="20"/>
        </w:rPr>
        <w:t>(2023):</w:t>
      </w:r>
      <w:r w:rsidRPr="00831FA0">
        <w:rPr>
          <w:rFonts w:ascii="Arial" w:hAnsi="Arial" w:cs="Arial"/>
          <w:bCs/>
          <w:color w:val="0D0D0D" w:themeColor="text1" w:themeTint="F2"/>
          <w:sz w:val="20"/>
          <w:szCs w:val="20"/>
        </w:rPr>
        <w:t xml:space="preserve"> Covalent-Organic Frameworks as Model Materials for Fundamental and Mechanistic Understanding of Organic Battery Design Principles.</w:t>
      </w:r>
      <w:r w:rsidRPr="00831FA0">
        <w:rPr>
          <w:rFonts w:ascii="Arial" w:hAnsi="Arial" w:cs="Arial"/>
          <w:b/>
          <w:bCs/>
          <w:i/>
          <w:color w:val="0D0D0D" w:themeColor="text1" w:themeTint="F2"/>
          <w:sz w:val="20"/>
          <w:szCs w:val="20"/>
        </w:rPr>
        <w:t xml:space="preserve"> Journal of the American Chemical Society </w:t>
      </w:r>
      <w:r w:rsidRPr="00831FA0">
        <w:rPr>
          <w:rFonts w:ascii="Arial" w:hAnsi="Arial" w:cs="Arial"/>
          <w:b/>
          <w:bCs/>
          <w:i/>
          <w:color w:val="0070C0"/>
          <w:sz w:val="20"/>
          <w:szCs w:val="20"/>
        </w:rPr>
        <w:t>(invited perspective)</w:t>
      </w:r>
      <w:r w:rsidRPr="00831FA0">
        <w:rPr>
          <w:rFonts w:ascii="Arial" w:hAnsi="Arial" w:cs="Arial"/>
          <w:b/>
          <w:bCs/>
          <w:i/>
          <w:color w:val="0D0D0D" w:themeColor="text1" w:themeTint="F2"/>
          <w:sz w:val="20"/>
          <w:szCs w:val="20"/>
        </w:rPr>
        <w:t>,</w:t>
      </w:r>
      <w:r w:rsidRPr="00831FA0">
        <w:rPr>
          <w:rFonts w:ascii="Arial" w:hAnsi="Arial" w:cs="Arial"/>
          <w:bCs/>
          <w:color w:val="0D0D0D" w:themeColor="text1" w:themeTint="F2"/>
          <w:sz w:val="20"/>
          <w:szCs w:val="20"/>
        </w:rPr>
        <w:t xml:space="preserve"> </w:t>
      </w:r>
      <w:r w:rsidRPr="00831FA0">
        <w:rPr>
          <w:rFonts w:ascii="Arial" w:hAnsi="Arial" w:cs="Arial"/>
          <w:bCs/>
          <w:i/>
          <w:color w:val="0D0D0D" w:themeColor="text1" w:themeTint="F2"/>
          <w:sz w:val="20"/>
          <w:szCs w:val="20"/>
        </w:rPr>
        <w:t>145</w:t>
      </w:r>
      <w:r w:rsidRPr="00831FA0">
        <w:rPr>
          <w:rFonts w:ascii="Arial" w:hAnsi="Arial" w:cs="Arial"/>
          <w:bCs/>
          <w:color w:val="0D0D0D" w:themeColor="text1" w:themeTint="F2"/>
          <w:sz w:val="20"/>
          <w:szCs w:val="20"/>
        </w:rPr>
        <w:t xml:space="preserve"> (25</w:t>
      </w:r>
      <w:r w:rsidRPr="00831FA0">
        <w:rPr>
          <w:rFonts w:ascii="Arial" w:hAnsi="Arial" w:cs="Arial"/>
          <w:bCs/>
          <w:i/>
          <w:color w:val="0D0D0D" w:themeColor="text1" w:themeTint="F2"/>
          <w:sz w:val="20"/>
          <w:szCs w:val="20"/>
        </w:rPr>
        <w:t>)</w:t>
      </w:r>
      <w:r w:rsidRPr="00831FA0">
        <w:rPr>
          <w:rFonts w:ascii="Arial" w:hAnsi="Arial" w:cs="Arial"/>
          <w:bCs/>
          <w:color w:val="0D0D0D" w:themeColor="text1" w:themeTint="F2"/>
          <w:sz w:val="20"/>
          <w:szCs w:val="20"/>
        </w:rPr>
        <w:t xml:space="preserve">, 13494–13513, </w:t>
      </w:r>
      <w:r w:rsidRPr="00831FA0">
        <w:rPr>
          <w:rFonts w:ascii="Arial" w:hAnsi="Arial" w:cs="Arial"/>
          <w:bCs/>
          <w:color w:val="0070C0"/>
          <w:sz w:val="20"/>
          <w:szCs w:val="20"/>
          <w:u w:val="single"/>
        </w:rPr>
        <w:t>https://doi.org/10.1021/jacs.3c01131</w:t>
      </w:r>
    </w:p>
    <w:p w14:paraId="2105C737" w14:textId="77777777" w:rsidR="00831FA0" w:rsidRPr="00831FA0" w:rsidRDefault="00831FA0" w:rsidP="00831FA0">
      <w:pPr>
        <w:spacing w:after="60"/>
        <w:jc w:val="both"/>
        <w:rPr>
          <w:rFonts w:ascii="Arial" w:hAnsi="Arial" w:cs="Arial"/>
          <w:b/>
          <w:bCs/>
          <w:color w:val="0D0D0D" w:themeColor="text1" w:themeTint="F2"/>
          <w:sz w:val="20"/>
          <w:szCs w:val="20"/>
        </w:rPr>
      </w:pPr>
      <w:r w:rsidRPr="00831FA0">
        <w:rPr>
          <w:rFonts w:ascii="Arial" w:hAnsi="Arial" w:cs="Arial"/>
          <w:bCs/>
          <w:color w:val="0D0D0D" w:themeColor="text1" w:themeTint="F2"/>
          <w:sz w:val="20"/>
          <w:szCs w:val="20"/>
        </w:rPr>
        <w:t>3.</w:t>
      </w:r>
      <w:r w:rsidRPr="00831FA0">
        <w:rPr>
          <w:rFonts w:ascii="Arial" w:hAnsi="Arial" w:cs="Arial"/>
          <w:b/>
          <w:bCs/>
          <w:color w:val="0D0D0D" w:themeColor="text1" w:themeTint="F2"/>
          <w:sz w:val="20"/>
          <w:szCs w:val="20"/>
        </w:rPr>
        <w:t xml:space="preserve"> Haldar, S.*</w:t>
      </w:r>
      <w:r w:rsidRPr="00831FA0">
        <w:rPr>
          <w:rFonts w:ascii="Arial" w:hAnsi="Arial" w:cs="Arial"/>
          <w:bCs/>
          <w:color w:val="0D0D0D" w:themeColor="text1" w:themeTint="F2"/>
          <w:sz w:val="20"/>
          <w:szCs w:val="20"/>
        </w:rPr>
        <w:t xml:space="preserve">; Wang, M.; Bhauriyal, P.; Hazra, A.; Khan, A. H.; Bon, V., Isaacs, M. A.; De, A.; Shupletsov, L.; Boenke, T.; Grothe, J.; Heine, T.; Brunner, E.; Feng, X.; Dong, R.; Schneemann, A.; </w:t>
      </w:r>
      <w:r w:rsidRPr="00831FA0">
        <w:rPr>
          <w:rFonts w:ascii="Arial" w:hAnsi="Arial" w:cs="Arial"/>
          <w:b/>
          <w:color w:val="0D0D0D" w:themeColor="text1" w:themeTint="F2"/>
          <w:sz w:val="20"/>
          <w:szCs w:val="20"/>
        </w:rPr>
        <w:t>Kaskel, S.*</w:t>
      </w:r>
      <w:r w:rsidRPr="00831FA0">
        <w:rPr>
          <w:rFonts w:ascii="Arial" w:hAnsi="Arial" w:cs="Arial"/>
          <w:bCs/>
          <w:color w:val="0D0D0D" w:themeColor="text1" w:themeTint="F2"/>
          <w:sz w:val="20"/>
          <w:szCs w:val="20"/>
        </w:rPr>
        <w:t xml:space="preserve"> </w:t>
      </w:r>
      <w:r w:rsidRPr="00831FA0">
        <w:rPr>
          <w:rFonts w:ascii="Arial" w:hAnsi="Arial" w:cs="Arial"/>
          <w:b/>
          <w:bCs/>
          <w:color w:val="0D0D0D" w:themeColor="text1" w:themeTint="F2"/>
          <w:sz w:val="20"/>
          <w:szCs w:val="20"/>
        </w:rPr>
        <w:t>(2022):</w:t>
      </w:r>
      <w:r w:rsidRPr="00831FA0">
        <w:rPr>
          <w:rFonts w:ascii="Arial" w:hAnsi="Arial" w:cs="Arial"/>
          <w:bCs/>
          <w:color w:val="0D0D0D" w:themeColor="text1" w:themeTint="F2"/>
          <w:sz w:val="20"/>
          <w:szCs w:val="20"/>
        </w:rPr>
        <w:t xml:space="preserve"> Porous Dithiine-Linked Covalent Organic Framework as a Dynamic Platform for Covalent Polysulfide Anchoring in Lithium-Sulfur Battery Cathodes. </w:t>
      </w:r>
      <w:r w:rsidRPr="00831FA0">
        <w:rPr>
          <w:rFonts w:ascii="Arial" w:hAnsi="Arial" w:cs="Arial"/>
          <w:b/>
          <w:bCs/>
          <w:i/>
          <w:color w:val="0D0D0D" w:themeColor="text1" w:themeTint="F2"/>
          <w:sz w:val="20"/>
          <w:szCs w:val="20"/>
        </w:rPr>
        <w:t>Journal of the American Chemical Society</w:t>
      </w:r>
      <w:r w:rsidRPr="00831FA0">
        <w:rPr>
          <w:rFonts w:ascii="Arial" w:hAnsi="Arial" w:cs="Arial"/>
          <w:bCs/>
          <w:color w:val="0D0D0D" w:themeColor="text1" w:themeTint="F2"/>
          <w:sz w:val="20"/>
          <w:szCs w:val="20"/>
        </w:rPr>
        <w:t xml:space="preserve">, </w:t>
      </w:r>
      <w:r w:rsidRPr="00831FA0">
        <w:rPr>
          <w:rFonts w:ascii="Arial" w:hAnsi="Arial" w:cs="Arial"/>
          <w:bCs/>
          <w:i/>
          <w:iCs/>
          <w:color w:val="0D0D0D" w:themeColor="text1" w:themeTint="F2"/>
          <w:sz w:val="20"/>
          <w:szCs w:val="20"/>
        </w:rPr>
        <w:t xml:space="preserve">144 </w:t>
      </w:r>
      <w:r w:rsidRPr="00831FA0">
        <w:rPr>
          <w:rFonts w:ascii="Arial" w:hAnsi="Arial" w:cs="Arial"/>
          <w:bCs/>
          <w:color w:val="0D0D0D" w:themeColor="text1" w:themeTint="F2"/>
          <w:sz w:val="20"/>
          <w:szCs w:val="20"/>
        </w:rPr>
        <w:t xml:space="preserve">(20), 9101–9112 pp. </w:t>
      </w:r>
      <w:r w:rsidRPr="00831FA0">
        <w:rPr>
          <w:rFonts w:ascii="Arial" w:hAnsi="Arial" w:cs="Arial"/>
          <w:bCs/>
          <w:color w:val="0070C0"/>
          <w:sz w:val="20"/>
          <w:szCs w:val="20"/>
          <w:u w:val="single"/>
        </w:rPr>
        <w:t>https://doi.org/10.1021/jacs.2c02346</w:t>
      </w:r>
    </w:p>
    <w:p w14:paraId="75B84033" w14:textId="77777777" w:rsidR="00831FA0" w:rsidRPr="00831FA0" w:rsidRDefault="00831FA0" w:rsidP="00831FA0">
      <w:pPr>
        <w:spacing w:after="60"/>
        <w:jc w:val="both"/>
        <w:rPr>
          <w:rFonts w:ascii="Arial" w:hAnsi="Arial" w:cs="Arial"/>
          <w:bCs/>
          <w:color w:val="0070C0"/>
          <w:sz w:val="20"/>
          <w:szCs w:val="20"/>
          <w:u w:val="single"/>
        </w:rPr>
      </w:pPr>
      <w:r w:rsidRPr="00831FA0">
        <w:rPr>
          <w:rFonts w:ascii="Arial" w:hAnsi="Arial" w:cs="Arial"/>
          <w:bCs/>
          <w:color w:val="0D0D0D" w:themeColor="text1" w:themeTint="F2"/>
          <w:sz w:val="20"/>
          <w:szCs w:val="20"/>
        </w:rPr>
        <w:t xml:space="preserve">4. </w:t>
      </w:r>
      <w:r w:rsidRPr="00831FA0">
        <w:rPr>
          <w:rFonts w:ascii="Arial" w:hAnsi="Arial" w:cs="Arial"/>
          <w:b/>
          <w:color w:val="0D0D0D" w:themeColor="text1" w:themeTint="F2"/>
          <w:sz w:val="20"/>
          <w:szCs w:val="20"/>
        </w:rPr>
        <w:t>Haldar, S.</w:t>
      </w:r>
      <w:r w:rsidRPr="00831FA0">
        <w:rPr>
          <w:rFonts w:ascii="Arial" w:hAnsi="Arial" w:cs="Arial"/>
          <w:b/>
          <w:bCs/>
          <w:color w:val="0D0D0D" w:themeColor="text1" w:themeTint="F2"/>
          <w:sz w:val="20"/>
          <w:szCs w:val="20"/>
        </w:rPr>
        <w:t>*</w:t>
      </w:r>
      <w:r w:rsidRPr="00831FA0">
        <w:rPr>
          <w:rFonts w:ascii="Arial" w:hAnsi="Arial" w:cs="Arial"/>
          <w:bCs/>
          <w:color w:val="0D0D0D" w:themeColor="text1" w:themeTint="F2"/>
          <w:sz w:val="20"/>
          <w:szCs w:val="20"/>
        </w:rPr>
        <w:t xml:space="preserve">; Roy, K.; Kushwaha, R.; Ogale, S.*; </w:t>
      </w:r>
      <w:r w:rsidRPr="00831FA0">
        <w:rPr>
          <w:rFonts w:ascii="Arial" w:hAnsi="Arial" w:cs="Arial"/>
          <w:b/>
          <w:color w:val="0D0D0D" w:themeColor="text1" w:themeTint="F2"/>
          <w:sz w:val="20"/>
          <w:szCs w:val="20"/>
        </w:rPr>
        <w:t>Vaidhyanathan, R.*</w:t>
      </w:r>
      <w:r w:rsidRPr="00831FA0">
        <w:rPr>
          <w:rFonts w:ascii="Arial" w:hAnsi="Arial" w:cs="Arial"/>
          <w:bCs/>
          <w:color w:val="0D0D0D" w:themeColor="text1" w:themeTint="F2"/>
          <w:sz w:val="20"/>
          <w:szCs w:val="20"/>
        </w:rPr>
        <w:t xml:space="preserve"> </w:t>
      </w:r>
      <w:r w:rsidRPr="00831FA0">
        <w:rPr>
          <w:rFonts w:ascii="Arial" w:hAnsi="Arial" w:cs="Arial"/>
          <w:b/>
          <w:bCs/>
          <w:color w:val="0D0D0D" w:themeColor="text1" w:themeTint="F2"/>
          <w:sz w:val="20"/>
          <w:szCs w:val="20"/>
        </w:rPr>
        <w:t>(2019)</w:t>
      </w:r>
      <w:r w:rsidRPr="00831FA0">
        <w:rPr>
          <w:rFonts w:ascii="Arial" w:hAnsi="Arial" w:cs="Arial"/>
          <w:bCs/>
          <w:color w:val="0D0D0D" w:themeColor="text1" w:themeTint="F2"/>
          <w:sz w:val="20"/>
          <w:szCs w:val="20"/>
        </w:rPr>
        <w:t xml:space="preserve">: Chemical Exfoliation as a Controlled Route to Enhance the Anodic Performance of COF in LIB. </w:t>
      </w:r>
      <w:r w:rsidRPr="00831FA0">
        <w:rPr>
          <w:rFonts w:ascii="Arial" w:hAnsi="Arial" w:cs="Arial"/>
          <w:b/>
          <w:bCs/>
          <w:i/>
          <w:color w:val="0D0D0D" w:themeColor="text1" w:themeTint="F2"/>
          <w:sz w:val="20"/>
          <w:szCs w:val="20"/>
        </w:rPr>
        <w:t>Advanced Energy Materials</w:t>
      </w:r>
      <w:r w:rsidRPr="00831FA0">
        <w:rPr>
          <w:rFonts w:ascii="Arial" w:hAnsi="Arial" w:cs="Arial"/>
          <w:bCs/>
          <w:color w:val="0D0D0D" w:themeColor="text1" w:themeTint="F2"/>
          <w:sz w:val="20"/>
          <w:szCs w:val="20"/>
        </w:rPr>
        <w:t xml:space="preserve">, </w:t>
      </w:r>
      <w:r w:rsidRPr="00831FA0">
        <w:rPr>
          <w:rFonts w:ascii="Arial" w:hAnsi="Arial" w:cs="Arial"/>
          <w:bCs/>
          <w:i/>
          <w:color w:val="0D0D0D" w:themeColor="text1" w:themeTint="F2"/>
          <w:sz w:val="20"/>
          <w:szCs w:val="20"/>
        </w:rPr>
        <w:t>9</w:t>
      </w:r>
      <w:r w:rsidRPr="00831FA0">
        <w:rPr>
          <w:rFonts w:ascii="Arial" w:hAnsi="Arial" w:cs="Arial"/>
          <w:bCs/>
          <w:color w:val="0D0D0D" w:themeColor="text1" w:themeTint="F2"/>
          <w:sz w:val="20"/>
          <w:szCs w:val="20"/>
        </w:rPr>
        <w:t xml:space="preserve">, 1902428 pp. </w:t>
      </w:r>
      <w:r w:rsidRPr="00831FA0">
        <w:rPr>
          <w:rFonts w:ascii="Arial" w:hAnsi="Arial" w:cs="Arial"/>
          <w:bCs/>
          <w:color w:val="0070C0"/>
          <w:sz w:val="20"/>
          <w:szCs w:val="20"/>
          <w:u w:val="single"/>
        </w:rPr>
        <w:t>https://doi.org/10.1002/aenm.201902428</w:t>
      </w:r>
    </w:p>
    <w:p w14:paraId="3883DFB6" w14:textId="77777777" w:rsidR="00831FA0" w:rsidRPr="00831FA0" w:rsidRDefault="00831FA0" w:rsidP="00831FA0">
      <w:pPr>
        <w:spacing w:after="60"/>
        <w:jc w:val="both"/>
        <w:rPr>
          <w:rFonts w:ascii="Arial" w:hAnsi="Arial" w:cs="Arial"/>
          <w:bCs/>
          <w:color w:val="0070C0"/>
          <w:sz w:val="20"/>
          <w:szCs w:val="20"/>
          <w:u w:val="single"/>
        </w:rPr>
      </w:pPr>
      <w:r w:rsidRPr="00831FA0">
        <w:rPr>
          <w:rFonts w:ascii="Arial" w:hAnsi="Arial" w:cs="Arial"/>
          <w:bCs/>
          <w:color w:val="0D0D0D" w:themeColor="text1" w:themeTint="F2"/>
          <w:sz w:val="20"/>
          <w:szCs w:val="20"/>
        </w:rPr>
        <w:lastRenderedPageBreak/>
        <w:t xml:space="preserve">5. </w:t>
      </w:r>
      <w:r w:rsidRPr="00831FA0">
        <w:rPr>
          <w:rFonts w:ascii="Arial" w:hAnsi="Arial" w:cs="Arial"/>
          <w:b/>
          <w:bCs/>
          <w:color w:val="0D0D0D" w:themeColor="text1" w:themeTint="F2"/>
          <w:sz w:val="20"/>
          <w:szCs w:val="20"/>
        </w:rPr>
        <w:t>Haldar, S.*</w:t>
      </w:r>
      <w:r w:rsidRPr="00831FA0">
        <w:rPr>
          <w:rFonts w:ascii="Arial" w:hAnsi="Arial" w:cs="Arial"/>
          <w:color w:val="0D0D0D" w:themeColor="text1" w:themeTint="F2"/>
          <w:sz w:val="20"/>
          <w:szCs w:val="20"/>
        </w:rPr>
        <w:t>;</w:t>
      </w:r>
      <w:r w:rsidRPr="00831FA0">
        <w:rPr>
          <w:rFonts w:ascii="Arial" w:hAnsi="Arial" w:cs="Arial"/>
          <w:b/>
          <w:bCs/>
          <w:i/>
          <w:color w:val="0D0D0D" w:themeColor="text1" w:themeTint="F2"/>
          <w:sz w:val="20"/>
          <w:szCs w:val="20"/>
        </w:rPr>
        <w:t xml:space="preserve"> </w:t>
      </w:r>
      <w:proofErr w:type="spellStart"/>
      <w:r w:rsidRPr="00831FA0">
        <w:rPr>
          <w:rFonts w:ascii="Arial" w:hAnsi="Arial" w:cs="Arial"/>
          <w:bCs/>
          <w:color w:val="0D0D0D" w:themeColor="text1" w:themeTint="F2"/>
          <w:sz w:val="20"/>
          <w:szCs w:val="20"/>
        </w:rPr>
        <w:t>Waentig</w:t>
      </w:r>
      <w:proofErr w:type="spellEnd"/>
      <w:r w:rsidRPr="00831FA0">
        <w:rPr>
          <w:rFonts w:ascii="Arial" w:hAnsi="Arial" w:cs="Arial"/>
          <w:bCs/>
          <w:color w:val="0D0D0D" w:themeColor="text1" w:themeTint="F2"/>
          <w:sz w:val="20"/>
          <w:szCs w:val="20"/>
        </w:rPr>
        <w:t xml:space="preserve">, A. L.; Ramuglia, A. R.; Bhauriyal, P; Khan, A. H.; </w:t>
      </w:r>
      <w:proofErr w:type="spellStart"/>
      <w:r w:rsidRPr="00831FA0">
        <w:rPr>
          <w:rFonts w:ascii="Arial" w:hAnsi="Arial" w:cs="Arial"/>
          <w:bCs/>
          <w:color w:val="0D0D0D" w:themeColor="text1" w:themeTint="F2"/>
          <w:sz w:val="20"/>
          <w:szCs w:val="20"/>
        </w:rPr>
        <w:t>Pastoetter</w:t>
      </w:r>
      <w:proofErr w:type="spellEnd"/>
      <w:r w:rsidRPr="00831FA0">
        <w:rPr>
          <w:rFonts w:ascii="Arial" w:hAnsi="Arial" w:cs="Arial"/>
          <w:bCs/>
          <w:color w:val="0D0D0D" w:themeColor="text1" w:themeTint="F2"/>
          <w:sz w:val="20"/>
          <w:szCs w:val="20"/>
        </w:rPr>
        <w:t>,</w:t>
      </w:r>
      <w:r w:rsidRPr="00831FA0">
        <w:rPr>
          <w:rFonts w:ascii="Arial" w:hAnsi="Arial" w:cs="Arial"/>
          <w:bCs/>
          <w:color w:val="0D0D0D" w:themeColor="text1" w:themeTint="F2"/>
          <w:sz w:val="20"/>
          <w:szCs w:val="20"/>
          <w:vertAlign w:val="superscript"/>
        </w:rPr>
        <w:t xml:space="preserve"> </w:t>
      </w:r>
      <w:r w:rsidRPr="00831FA0">
        <w:rPr>
          <w:rFonts w:ascii="Arial" w:hAnsi="Arial" w:cs="Arial"/>
          <w:bCs/>
          <w:color w:val="0D0D0D" w:themeColor="text1" w:themeTint="F2"/>
          <w:sz w:val="20"/>
          <w:szCs w:val="20"/>
        </w:rPr>
        <w:t>D. L.; Isaacs, M. A.; De, A.; Brunner, E.; Wang, M.; Heine, T.; Weidinger, I. M.;</w:t>
      </w:r>
      <w:r w:rsidRPr="00831FA0">
        <w:rPr>
          <w:rFonts w:ascii="Arial" w:hAnsi="Arial" w:cs="Arial"/>
          <w:bCs/>
          <w:color w:val="0D0D0D" w:themeColor="text1" w:themeTint="F2"/>
          <w:sz w:val="20"/>
          <w:szCs w:val="20"/>
          <w:vertAlign w:val="superscript"/>
        </w:rPr>
        <w:t xml:space="preserve"> </w:t>
      </w:r>
      <w:r w:rsidRPr="00831FA0">
        <w:rPr>
          <w:rFonts w:ascii="Arial" w:hAnsi="Arial" w:cs="Arial"/>
          <w:bCs/>
          <w:color w:val="0D0D0D" w:themeColor="text1" w:themeTint="F2"/>
          <w:sz w:val="20"/>
          <w:szCs w:val="20"/>
        </w:rPr>
        <w:t>Feng,</w:t>
      </w:r>
      <w:r w:rsidRPr="00831FA0">
        <w:rPr>
          <w:rFonts w:ascii="Arial" w:hAnsi="Arial" w:cs="Arial"/>
          <w:bCs/>
          <w:color w:val="0D0D0D" w:themeColor="text1" w:themeTint="F2"/>
          <w:sz w:val="20"/>
          <w:szCs w:val="20"/>
          <w:vertAlign w:val="superscript"/>
        </w:rPr>
        <w:t xml:space="preserve"> </w:t>
      </w:r>
      <w:r w:rsidRPr="00831FA0">
        <w:rPr>
          <w:rFonts w:ascii="Arial" w:hAnsi="Arial" w:cs="Arial"/>
          <w:bCs/>
          <w:color w:val="0D0D0D" w:themeColor="text1" w:themeTint="F2"/>
          <w:sz w:val="20"/>
          <w:szCs w:val="20"/>
        </w:rPr>
        <w:t xml:space="preserve">X.; Schneemann, A.; </w:t>
      </w:r>
      <w:r w:rsidRPr="00831FA0">
        <w:rPr>
          <w:rFonts w:ascii="Arial" w:hAnsi="Arial" w:cs="Arial"/>
          <w:b/>
          <w:color w:val="0D0D0D" w:themeColor="text1" w:themeTint="F2"/>
          <w:sz w:val="20"/>
          <w:szCs w:val="20"/>
        </w:rPr>
        <w:t xml:space="preserve">Kaskel, S.* </w:t>
      </w:r>
      <w:r w:rsidRPr="00831FA0">
        <w:rPr>
          <w:rFonts w:ascii="Arial" w:hAnsi="Arial" w:cs="Arial"/>
          <w:b/>
          <w:bCs/>
          <w:color w:val="0D0D0D" w:themeColor="text1" w:themeTint="F2"/>
          <w:sz w:val="20"/>
          <w:szCs w:val="20"/>
        </w:rPr>
        <w:t>(2023):</w:t>
      </w:r>
      <w:r w:rsidRPr="00831FA0">
        <w:rPr>
          <w:rFonts w:ascii="Arial" w:hAnsi="Arial" w:cs="Arial"/>
          <w:bCs/>
          <w:color w:val="0D0D0D" w:themeColor="text1" w:themeTint="F2"/>
          <w:sz w:val="20"/>
          <w:szCs w:val="20"/>
        </w:rPr>
        <w:t xml:space="preserve"> Covalent Trapping of Cyclic-Polysulfides in Perfluorinated Vinylene-Linked Frameworks for Designing Lithium-</w:t>
      </w:r>
      <w:proofErr w:type="spellStart"/>
      <w:r w:rsidRPr="00831FA0">
        <w:rPr>
          <w:rFonts w:ascii="Arial" w:hAnsi="Arial" w:cs="Arial"/>
          <w:bCs/>
          <w:color w:val="0D0D0D" w:themeColor="text1" w:themeTint="F2"/>
          <w:sz w:val="20"/>
          <w:szCs w:val="20"/>
        </w:rPr>
        <w:t>Organosulfide</w:t>
      </w:r>
      <w:proofErr w:type="spellEnd"/>
      <w:r w:rsidRPr="00831FA0">
        <w:rPr>
          <w:rFonts w:ascii="Arial" w:hAnsi="Arial" w:cs="Arial"/>
          <w:bCs/>
          <w:color w:val="0D0D0D" w:themeColor="text1" w:themeTint="F2"/>
          <w:sz w:val="20"/>
          <w:szCs w:val="20"/>
        </w:rPr>
        <w:t xml:space="preserve"> Batteries. </w:t>
      </w:r>
      <w:r w:rsidRPr="00831FA0">
        <w:rPr>
          <w:rFonts w:ascii="Arial" w:hAnsi="Arial" w:cs="Arial"/>
          <w:b/>
          <w:bCs/>
          <w:i/>
          <w:iCs/>
          <w:color w:val="0D0D0D" w:themeColor="text1" w:themeTint="F2"/>
          <w:sz w:val="20"/>
          <w:szCs w:val="20"/>
        </w:rPr>
        <w:t>ACS Energy Letters</w:t>
      </w:r>
      <w:r w:rsidRPr="00831FA0">
        <w:rPr>
          <w:rFonts w:ascii="Arial" w:hAnsi="Arial" w:cs="Arial"/>
          <w:bCs/>
          <w:i/>
          <w:iCs/>
          <w:color w:val="0D0D0D" w:themeColor="text1" w:themeTint="F2"/>
          <w:sz w:val="20"/>
          <w:szCs w:val="20"/>
        </w:rPr>
        <w:t>,</w:t>
      </w:r>
      <w:r w:rsidRPr="00831FA0">
        <w:rPr>
          <w:rFonts w:ascii="Arial" w:hAnsi="Arial" w:cs="Arial"/>
          <w:color w:val="0D0D0D" w:themeColor="text1" w:themeTint="F2"/>
          <w:sz w:val="20"/>
          <w:szCs w:val="20"/>
        </w:rPr>
        <w:t xml:space="preserve"> </w:t>
      </w:r>
      <w:r w:rsidRPr="00831FA0">
        <w:rPr>
          <w:rFonts w:ascii="Arial" w:hAnsi="Arial" w:cs="Arial"/>
          <w:bCs/>
          <w:i/>
          <w:color w:val="0D0D0D" w:themeColor="text1" w:themeTint="F2"/>
          <w:sz w:val="20"/>
          <w:szCs w:val="20"/>
        </w:rPr>
        <w:t xml:space="preserve">8, 12, </w:t>
      </w:r>
      <w:r w:rsidRPr="00831FA0">
        <w:rPr>
          <w:rFonts w:ascii="Arial" w:hAnsi="Arial" w:cs="Arial"/>
          <w:bCs/>
          <w:iCs/>
          <w:color w:val="0D0D0D" w:themeColor="text1" w:themeTint="F2"/>
          <w:sz w:val="20"/>
          <w:szCs w:val="20"/>
        </w:rPr>
        <w:t>5098–5106</w:t>
      </w:r>
      <w:r w:rsidRPr="00831FA0">
        <w:rPr>
          <w:rFonts w:ascii="Arial" w:hAnsi="Arial" w:cs="Arial"/>
          <w:bCs/>
          <w:i/>
          <w:color w:val="0D0D0D" w:themeColor="text1" w:themeTint="F2"/>
          <w:sz w:val="20"/>
          <w:szCs w:val="20"/>
        </w:rPr>
        <w:t xml:space="preserve">. </w:t>
      </w:r>
      <w:hyperlink r:id="rId5" w:history="1">
        <w:r w:rsidRPr="00831FA0">
          <w:rPr>
            <w:rFonts w:ascii="Arial" w:eastAsia="Calibri" w:hAnsi="Arial" w:cs="Arial"/>
            <w:color w:val="0070C0"/>
            <w:sz w:val="20"/>
            <w:szCs w:val="20"/>
            <w:u w:val="single"/>
          </w:rPr>
          <w:t>https://doi.org/10.1021/acsenergylett.3c01548</w:t>
        </w:r>
      </w:hyperlink>
    </w:p>
    <w:p w14:paraId="362A1445" w14:textId="2575B1FF" w:rsidR="00831FA0" w:rsidRDefault="00831FA0" w:rsidP="00831FA0">
      <w:pPr>
        <w:spacing w:after="60"/>
        <w:jc w:val="both"/>
        <w:rPr>
          <w:rFonts w:ascii="Arial" w:eastAsia="Calibri" w:hAnsi="Arial" w:cs="Arial"/>
          <w:color w:val="0070C0"/>
          <w:sz w:val="20"/>
          <w:szCs w:val="20"/>
          <w:u w:val="single"/>
        </w:rPr>
      </w:pPr>
      <w:r w:rsidRPr="00831FA0">
        <w:rPr>
          <w:rFonts w:ascii="Arial" w:hAnsi="Arial" w:cs="Arial"/>
          <w:bCs/>
          <w:color w:val="0D0D0D" w:themeColor="text1" w:themeTint="F2"/>
          <w:sz w:val="20"/>
          <w:szCs w:val="20"/>
        </w:rPr>
        <w:t xml:space="preserve">6. </w:t>
      </w:r>
      <w:r w:rsidRPr="00831FA0">
        <w:rPr>
          <w:rFonts w:ascii="Arial" w:hAnsi="Arial" w:cs="Arial"/>
          <w:b/>
          <w:bCs/>
          <w:color w:val="000000" w:themeColor="text1"/>
          <w:sz w:val="20"/>
          <w:szCs w:val="20"/>
        </w:rPr>
        <w:t>Haldar, S.*</w:t>
      </w:r>
      <w:r w:rsidRPr="00831FA0">
        <w:rPr>
          <w:rFonts w:ascii="Arial" w:hAnsi="Arial" w:cs="Arial"/>
          <w:bCs/>
          <w:color w:val="000000" w:themeColor="text1"/>
          <w:sz w:val="20"/>
          <w:szCs w:val="20"/>
        </w:rPr>
        <w:t xml:space="preserve">; Khan, A. H.; De. A.; Reichmayr, F.; Morag, A.; Yu, M.; Schneemann, A.; </w:t>
      </w:r>
      <w:r w:rsidRPr="00831FA0">
        <w:rPr>
          <w:rFonts w:ascii="Arial" w:hAnsi="Arial" w:cs="Arial"/>
          <w:b/>
          <w:color w:val="000000" w:themeColor="text1"/>
          <w:sz w:val="20"/>
          <w:szCs w:val="20"/>
        </w:rPr>
        <w:t xml:space="preserve">Kaskel, S.* </w:t>
      </w:r>
      <w:r w:rsidRPr="00831FA0">
        <w:rPr>
          <w:rFonts w:ascii="Arial" w:hAnsi="Arial" w:cs="Arial"/>
          <w:b/>
          <w:bCs/>
          <w:color w:val="000000" w:themeColor="text1"/>
          <w:sz w:val="20"/>
          <w:szCs w:val="20"/>
        </w:rPr>
        <w:t xml:space="preserve">(2023): </w:t>
      </w:r>
      <w:r w:rsidRPr="00831FA0">
        <w:rPr>
          <w:rFonts w:ascii="Arial" w:hAnsi="Arial" w:cs="Arial"/>
          <w:bCs/>
          <w:color w:val="000000" w:themeColor="text1"/>
          <w:sz w:val="20"/>
          <w:szCs w:val="20"/>
        </w:rPr>
        <w:t xml:space="preserve">Fluorinated Benzimidazole-linked 2D-conjugated Polymer Enabling Covalent Polysulfide Anchoring for Stable Sulfur Batteries. </w:t>
      </w:r>
      <w:r w:rsidRPr="00831FA0">
        <w:rPr>
          <w:rFonts w:ascii="Arial" w:hAnsi="Arial" w:cs="Arial"/>
          <w:b/>
          <w:bCs/>
          <w:i/>
          <w:color w:val="000000" w:themeColor="text1"/>
          <w:sz w:val="20"/>
          <w:szCs w:val="20"/>
        </w:rPr>
        <w:t xml:space="preserve">Chemistry - A European Journal </w:t>
      </w:r>
      <w:r w:rsidRPr="00831FA0">
        <w:rPr>
          <w:rFonts w:ascii="Arial" w:hAnsi="Arial" w:cs="Arial"/>
          <w:b/>
          <w:bCs/>
          <w:i/>
          <w:color w:val="0070C0"/>
          <w:sz w:val="20"/>
          <w:szCs w:val="20"/>
        </w:rPr>
        <w:t>(hot paper)</w:t>
      </w:r>
      <w:r w:rsidRPr="00831FA0">
        <w:rPr>
          <w:rFonts w:ascii="Arial" w:hAnsi="Arial" w:cs="Arial"/>
          <w:bCs/>
          <w:color w:val="000000" w:themeColor="text1"/>
          <w:sz w:val="20"/>
          <w:szCs w:val="20"/>
        </w:rPr>
        <w:t xml:space="preserve">, </w:t>
      </w:r>
      <w:proofErr w:type="gramStart"/>
      <w:r w:rsidRPr="00831FA0">
        <w:rPr>
          <w:rFonts w:ascii="Arial" w:hAnsi="Arial" w:cs="Arial"/>
          <w:bCs/>
          <w:i/>
          <w:iCs/>
          <w:color w:val="000000" w:themeColor="text1"/>
          <w:sz w:val="20"/>
          <w:szCs w:val="20"/>
        </w:rPr>
        <w:t xml:space="preserve">29, </w:t>
      </w:r>
      <w:r w:rsidRPr="00831FA0">
        <w:rPr>
          <w:rFonts w:ascii="Arial" w:hAnsi="Arial" w:cs="Arial"/>
          <w:bCs/>
          <w:color w:val="000000" w:themeColor="text1"/>
          <w:sz w:val="20"/>
          <w:szCs w:val="20"/>
        </w:rPr>
        <w:t xml:space="preserve"> e</w:t>
      </w:r>
      <w:proofErr w:type="gramEnd"/>
      <w:r w:rsidRPr="00831FA0">
        <w:rPr>
          <w:rFonts w:ascii="Arial" w:hAnsi="Arial" w:cs="Arial"/>
          <w:bCs/>
          <w:color w:val="000000" w:themeColor="text1"/>
          <w:sz w:val="20"/>
          <w:szCs w:val="20"/>
        </w:rPr>
        <w:t xml:space="preserve">20230277, </w:t>
      </w:r>
      <w:hyperlink r:id="rId6" w:history="1">
        <w:r w:rsidR="0037287C" w:rsidRPr="003F3276">
          <w:rPr>
            <w:rStyle w:val="Hyperlink"/>
            <w:rFonts w:ascii="Arial" w:eastAsia="Calibri" w:hAnsi="Arial" w:cs="Arial"/>
            <w:sz w:val="20"/>
            <w:szCs w:val="20"/>
          </w:rPr>
          <w:t>https://doi.org/10.1002/chem.202302779</w:t>
        </w:r>
      </w:hyperlink>
    </w:p>
    <w:p w14:paraId="6EDBC4D8" w14:textId="77777777" w:rsidR="0037287C" w:rsidRPr="00831FA0" w:rsidRDefault="0037287C" w:rsidP="00831FA0">
      <w:pPr>
        <w:spacing w:after="60"/>
        <w:jc w:val="both"/>
        <w:rPr>
          <w:rFonts w:ascii="Arial" w:hAnsi="Arial" w:cs="Arial"/>
          <w:b/>
          <w:bCs/>
          <w:color w:val="000000" w:themeColor="text1"/>
          <w:sz w:val="20"/>
          <w:szCs w:val="20"/>
          <w:u w:val="single"/>
        </w:rPr>
      </w:pPr>
    </w:p>
    <w:p w14:paraId="285B1AC2" w14:textId="354DA170" w:rsidR="00421718" w:rsidRPr="00831FA0" w:rsidRDefault="0037287C" w:rsidP="0037287C">
      <w:pPr>
        <w:jc w:val="center"/>
        <w:rPr>
          <w:rFonts w:ascii="Arial" w:hAnsi="Arial" w:cs="Arial"/>
          <w:sz w:val="20"/>
          <w:szCs w:val="20"/>
        </w:rPr>
      </w:pPr>
      <w:r>
        <w:rPr>
          <w:rFonts w:ascii="Arial" w:hAnsi="Arial" w:cs="Arial"/>
          <w:noProof/>
          <w:sz w:val="20"/>
          <w:szCs w:val="20"/>
        </w:rPr>
        <w:drawing>
          <wp:inline distT="0" distB="0" distL="0" distR="0" wp14:anchorId="1B2EB634" wp14:editId="15B4E57F">
            <wp:extent cx="6065520" cy="4807103"/>
            <wp:effectExtent l="0" t="0" r="0" b="0"/>
            <wp:docPr id="855382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2977"/>
                    <a:stretch/>
                  </pic:blipFill>
                  <pic:spPr bwMode="auto">
                    <a:xfrm>
                      <a:off x="0" y="0"/>
                      <a:ext cx="6077096" cy="4816277"/>
                    </a:xfrm>
                    <a:prstGeom prst="rect">
                      <a:avLst/>
                    </a:prstGeom>
                    <a:noFill/>
                    <a:ln>
                      <a:noFill/>
                    </a:ln>
                    <a:extLst>
                      <a:ext uri="{53640926-AAD7-44D8-BBD7-CCE9431645EC}">
                        <a14:shadowObscured xmlns:a14="http://schemas.microsoft.com/office/drawing/2010/main"/>
                      </a:ext>
                    </a:extLst>
                  </pic:spPr>
                </pic:pic>
              </a:graphicData>
            </a:graphic>
          </wp:inline>
        </w:drawing>
      </w:r>
    </w:p>
    <w:p w14:paraId="6018114C" w14:textId="3B4CA0E3" w:rsidR="00E73EAF" w:rsidRPr="00831FA0" w:rsidRDefault="00E73EAF" w:rsidP="00E73EAF">
      <w:pPr>
        <w:rPr>
          <w:rFonts w:ascii="Arial" w:hAnsi="Arial" w:cs="Arial"/>
          <w:sz w:val="20"/>
          <w:szCs w:val="20"/>
        </w:rPr>
      </w:pPr>
    </w:p>
    <w:sectPr w:rsidR="00E73EAF" w:rsidRPr="00831FA0">
      <w:pgSz w:w="12240" w:h="15840"/>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C50F2"/>
    <w:multiLevelType w:val="hybridMultilevel"/>
    <w:tmpl w:val="A1BE8408"/>
    <w:lvl w:ilvl="0" w:tplc="68E476A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22245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0sjQzMLG0MLC0NLdQ0lEKTi0uzszPAykwrwUAFAoPiiwAAAA="/>
  </w:docVars>
  <w:rsids>
    <w:rsidRoot w:val="003E3FD3"/>
    <w:rsid w:val="000226B1"/>
    <w:rsid w:val="00027B3E"/>
    <w:rsid w:val="00051BA6"/>
    <w:rsid w:val="00092F2C"/>
    <w:rsid w:val="00095978"/>
    <w:rsid w:val="000A50AB"/>
    <w:rsid w:val="000A58DA"/>
    <w:rsid w:val="000B0527"/>
    <w:rsid w:val="00177A69"/>
    <w:rsid w:val="001C7B9E"/>
    <w:rsid w:val="002448C8"/>
    <w:rsid w:val="00251B92"/>
    <w:rsid w:val="002851E7"/>
    <w:rsid w:val="002D5B9F"/>
    <w:rsid w:val="0033400E"/>
    <w:rsid w:val="003411AF"/>
    <w:rsid w:val="0037287C"/>
    <w:rsid w:val="0039422A"/>
    <w:rsid w:val="003C55D7"/>
    <w:rsid w:val="003E3FD3"/>
    <w:rsid w:val="00421718"/>
    <w:rsid w:val="00434CD1"/>
    <w:rsid w:val="00437F0A"/>
    <w:rsid w:val="00456626"/>
    <w:rsid w:val="00464CB2"/>
    <w:rsid w:val="004F7D6E"/>
    <w:rsid w:val="0059191D"/>
    <w:rsid w:val="00595687"/>
    <w:rsid w:val="005A56E3"/>
    <w:rsid w:val="005E24D7"/>
    <w:rsid w:val="005F296B"/>
    <w:rsid w:val="006831F1"/>
    <w:rsid w:val="006E4541"/>
    <w:rsid w:val="007266B8"/>
    <w:rsid w:val="00736F5B"/>
    <w:rsid w:val="007B3C47"/>
    <w:rsid w:val="007B3D88"/>
    <w:rsid w:val="007B537B"/>
    <w:rsid w:val="007F74E7"/>
    <w:rsid w:val="00831FA0"/>
    <w:rsid w:val="008330A9"/>
    <w:rsid w:val="00861806"/>
    <w:rsid w:val="00872079"/>
    <w:rsid w:val="008E3619"/>
    <w:rsid w:val="008E4FB1"/>
    <w:rsid w:val="00934E57"/>
    <w:rsid w:val="009A7C90"/>
    <w:rsid w:val="009E4352"/>
    <w:rsid w:val="009F4413"/>
    <w:rsid w:val="00A11202"/>
    <w:rsid w:val="00A178BC"/>
    <w:rsid w:val="00A808DB"/>
    <w:rsid w:val="00A84FB3"/>
    <w:rsid w:val="00B36A5D"/>
    <w:rsid w:val="00B85180"/>
    <w:rsid w:val="00BA2AD2"/>
    <w:rsid w:val="00BD7386"/>
    <w:rsid w:val="00C274A0"/>
    <w:rsid w:val="00C745E8"/>
    <w:rsid w:val="00D2495E"/>
    <w:rsid w:val="00D43DC5"/>
    <w:rsid w:val="00D643F7"/>
    <w:rsid w:val="00E2700F"/>
    <w:rsid w:val="00E5587A"/>
    <w:rsid w:val="00E73EAF"/>
    <w:rsid w:val="00EA0334"/>
    <w:rsid w:val="00F00280"/>
    <w:rsid w:val="00F675B4"/>
    <w:rsid w:val="00F83DFD"/>
    <w:rsid w:val="00F84790"/>
    <w:rsid w:val="00FB6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08B6BC"/>
  <w15:chartTrackingRefBased/>
  <w15:docId w15:val="{7486F2AD-63CD-4998-B77C-EC183D8E4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3EAF"/>
    <w:rPr>
      <w:color w:val="0563C1" w:themeColor="hyperlink"/>
      <w:u w:val="single"/>
    </w:rPr>
  </w:style>
  <w:style w:type="character" w:styleId="UnresolvedMention">
    <w:name w:val="Unresolved Mention"/>
    <w:basedOn w:val="DefaultParagraphFont"/>
    <w:uiPriority w:val="99"/>
    <w:semiHidden/>
    <w:unhideWhenUsed/>
    <w:rsid w:val="00E73EAF"/>
    <w:rPr>
      <w:color w:val="605E5C"/>
      <w:shd w:val="clear" w:color="auto" w:fill="E1DFDD"/>
    </w:rPr>
  </w:style>
  <w:style w:type="paragraph" w:styleId="ListParagraph">
    <w:name w:val="List Paragraph"/>
    <w:basedOn w:val="Normal"/>
    <w:uiPriority w:val="34"/>
    <w:qFormat/>
    <w:rsid w:val="00E73EAF"/>
    <w:pPr>
      <w:spacing w:line="276" w:lineRule="auto"/>
      <w:ind w:left="720"/>
      <w:contextualSpacing/>
    </w:pPr>
    <w:rPr>
      <w:rFonts w:eastAsiaTheme="minorEastAsia"/>
      <w:sz w:val="21"/>
      <w:szCs w:val="21"/>
      <w:lang w:val="pl-PL"/>
    </w:rPr>
  </w:style>
  <w:style w:type="paragraph" w:styleId="NormalWeb">
    <w:name w:val="Normal (Web)"/>
    <w:basedOn w:val="Normal"/>
    <w:uiPriority w:val="99"/>
    <w:semiHidden/>
    <w:unhideWhenUsed/>
    <w:rsid w:val="009F44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3673">
      <w:bodyDiv w:val="1"/>
      <w:marLeft w:val="0"/>
      <w:marRight w:val="0"/>
      <w:marTop w:val="0"/>
      <w:marBottom w:val="0"/>
      <w:divBdr>
        <w:top w:val="none" w:sz="0" w:space="0" w:color="auto"/>
        <w:left w:val="none" w:sz="0" w:space="0" w:color="auto"/>
        <w:bottom w:val="none" w:sz="0" w:space="0" w:color="auto"/>
        <w:right w:val="none" w:sz="0" w:space="0" w:color="auto"/>
      </w:divBdr>
    </w:div>
    <w:div w:id="425660257">
      <w:bodyDiv w:val="1"/>
      <w:marLeft w:val="0"/>
      <w:marRight w:val="0"/>
      <w:marTop w:val="0"/>
      <w:marBottom w:val="0"/>
      <w:divBdr>
        <w:top w:val="none" w:sz="0" w:space="0" w:color="auto"/>
        <w:left w:val="none" w:sz="0" w:space="0" w:color="auto"/>
        <w:bottom w:val="none" w:sz="0" w:space="0" w:color="auto"/>
        <w:right w:val="none" w:sz="0" w:space="0" w:color="auto"/>
      </w:divBdr>
    </w:div>
    <w:div w:id="874512400">
      <w:bodyDiv w:val="1"/>
      <w:marLeft w:val="0"/>
      <w:marRight w:val="0"/>
      <w:marTop w:val="0"/>
      <w:marBottom w:val="0"/>
      <w:divBdr>
        <w:top w:val="none" w:sz="0" w:space="0" w:color="auto"/>
        <w:left w:val="none" w:sz="0" w:space="0" w:color="auto"/>
        <w:bottom w:val="none" w:sz="0" w:space="0" w:color="auto"/>
        <w:right w:val="none" w:sz="0" w:space="0" w:color="auto"/>
      </w:divBdr>
    </w:div>
    <w:div w:id="98847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002/chem.202302779" TargetMode="External"/><Relationship Id="rId5" Type="http://schemas.openxmlformats.org/officeDocument/2006/relationships/hyperlink" Target="https://doi.org/10.1021/acsenergylett.3c01548"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703</Words>
  <Characters>4736</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Sattwick Haldar</dc:creator>
  <cp:keywords/>
  <dc:description/>
  <cp:lastModifiedBy>Sattwick Haldar</cp:lastModifiedBy>
  <cp:revision>22</cp:revision>
  <cp:lastPrinted>2024-01-02T07:30:00Z</cp:lastPrinted>
  <dcterms:created xsi:type="dcterms:W3CDTF">2024-02-17T13:16:00Z</dcterms:created>
  <dcterms:modified xsi:type="dcterms:W3CDTF">2024-02-19T08:41:00Z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28cab52c3663dcc4d6f442d89e03387aca90b02a74d08aded9355574d9f1d3da</vt:lpwstr>
  </property>
</Properties>
</file>